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F7F" w:rsidRDefault="00C97F7F" w:rsidP="00C97F7F">
      <w:pPr>
        <w:pStyle w:val="Header"/>
        <w:spacing w:line="480" w:lineRule="auto"/>
        <w:rPr>
          <w:rFonts w:ascii="Times New Roman" w:hAnsi="Times New Roman" w:cs="Times New Roman"/>
          <w:sz w:val="24"/>
        </w:rPr>
      </w:pPr>
    </w:p>
    <w:p w:rsidR="00C97F7F" w:rsidRDefault="00C97F7F" w:rsidP="00C97F7F">
      <w:pPr>
        <w:pStyle w:val="Header"/>
        <w:spacing w:line="480" w:lineRule="auto"/>
        <w:rPr>
          <w:rFonts w:ascii="Times New Roman" w:hAnsi="Times New Roman" w:cs="Times New Roman"/>
          <w:sz w:val="24"/>
        </w:rPr>
      </w:pPr>
    </w:p>
    <w:p w:rsidR="00C97F7F" w:rsidRDefault="00C97F7F" w:rsidP="00C97F7F">
      <w:pPr>
        <w:pStyle w:val="Header"/>
        <w:spacing w:line="480" w:lineRule="auto"/>
        <w:rPr>
          <w:rFonts w:ascii="Times New Roman" w:hAnsi="Times New Roman" w:cs="Times New Roman"/>
          <w:sz w:val="24"/>
        </w:rPr>
      </w:pPr>
    </w:p>
    <w:p w:rsidR="00C97F7F" w:rsidRDefault="00C97F7F" w:rsidP="00C97F7F">
      <w:pPr>
        <w:pStyle w:val="Header"/>
        <w:spacing w:line="480" w:lineRule="auto"/>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r w:rsidRPr="00BC6844">
        <w:rPr>
          <w:rFonts w:ascii="Times New Roman" w:hAnsi="Times New Roman" w:cs="Times New Roman"/>
          <w:sz w:val="24"/>
        </w:rPr>
        <w:t>Philosophical and Scientific Graduations</w:t>
      </w: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p>
    <w:p w:rsidR="00C97F7F" w:rsidRDefault="00C97F7F" w:rsidP="00C97F7F">
      <w:pPr>
        <w:pStyle w:val="Header"/>
        <w:spacing w:line="480" w:lineRule="auto"/>
        <w:jc w:val="center"/>
        <w:rPr>
          <w:rFonts w:ascii="Times New Roman" w:hAnsi="Times New Roman" w:cs="Times New Roman"/>
          <w:sz w:val="24"/>
        </w:rPr>
      </w:pPr>
      <w:r>
        <w:rPr>
          <w:rFonts w:ascii="Times New Roman" w:hAnsi="Times New Roman" w:cs="Times New Roman"/>
          <w:sz w:val="24"/>
        </w:rPr>
        <w:t>Student Name</w:t>
      </w:r>
    </w:p>
    <w:p w:rsidR="00C97F7F" w:rsidRDefault="00C97F7F" w:rsidP="00C97F7F">
      <w:pPr>
        <w:pStyle w:val="Header"/>
        <w:spacing w:line="480" w:lineRule="auto"/>
        <w:jc w:val="center"/>
        <w:rPr>
          <w:rFonts w:ascii="Times New Roman" w:hAnsi="Times New Roman" w:cs="Times New Roman"/>
          <w:sz w:val="24"/>
        </w:rPr>
      </w:pPr>
      <w:r>
        <w:rPr>
          <w:rFonts w:ascii="Times New Roman" w:hAnsi="Times New Roman" w:cs="Times New Roman"/>
          <w:sz w:val="24"/>
        </w:rPr>
        <w:t xml:space="preserve">University </w:t>
      </w:r>
    </w:p>
    <w:p w:rsidR="00C97F7F" w:rsidRDefault="00C97F7F" w:rsidP="00C97F7F">
      <w:pPr>
        <w:pStyle w:val="Header"/>
        <w:spacing w:line="480" w:lineRule="auto"/>
        <w:jc w:val="center"/>
        <w:rPr>
          <w:rFonts w:ascii="Times New Roman" w:hAnsi="Times New Roman" w:cs="Times New Roman"/>
          <w:sz w:val="24"/>
        </w:rPr>
      </w:pPr>
      <w:r>
        <w:rPr>
          <w:rFonts w:ascii="Times New Roman" w:hAnsi="Times New Roman" w:cs="Times New Roman"/>
          <w:sz w:val="24"/>
        </w:rPr>
        <w:t xml:space="preserve">Course </w:t>
      </w:r>
    </w:p>
    <w:p w:rsidR="00C97F7F" w:rsidRDefault="00C97F7F" w:rsidP="00C97F7F">
      <w:pPr>
        <w:pStyle w:val="Header"/>
        <w:spacing w:line="480" w:lineRule="auto"/>
        <w:jc w:val="center"/>
        <w:rPr>
          <w:rFonts w:ascii="Times New Roman" w:hAnsi="Times New Roman" w:cs="Times New Roman"/>
          <w:sz w:val="24"/>
        </w:rPr>
      </w:pPr>
      <w:r>
        <w:rPr>
          <w:rFonts w:ascii="Times New Roman" w:hAnsi="Times New Roman" w:cs="Times New Roman"/>
          <w:sz w:val="24"/>
        </w:rPr>
        <w:t xml:space="preserve">Date </w:t>
      </w:r>
    </w:p>
    <w:p w:rsidR="00C97F7F" w:rsidRDefault="00C97F7F" w:rsidP="00C97F7F">
      <w:pPr>
        <w:pStyle w:val="Header"/>
        <w:spacing w:line="480" w:lineRule="auto"/>
      </w:pPr>
    </w:p>
    <w:p w:rsidR="00C97F7F" w:rsidRDefault="00C97F7F" w:rsidP="00C97F7F">
      <w:pPr>
        <w:spacing w:after="0" w:line="480" w:lineRule="auto"/>
        <w:ind w:firstLine="720"/>
        <w:jc w:val="both"/>
        <w:rPr>
          <w:rFonts w:ascii="Times New Roman" w:hAnsi="Times New Roman" w:cs="Times New Roman"/>
          <w:sz w:val="24"/>
        </w:rPr>
      </w:pPr>
    </w:p>
    <w:p w:rsidR="00C97F7F" w:rsidRDefault="00C97F7F" w:rsidP="00C97F7F">
      <w:pPr>
        <w:spacing w:after="0" w:line="480" w:lineRule="auto"/>
        <w:ind w:firstLine="720"/>
        <w:jc w:val="both"/>
        <w:rPr>
          <w:rFonts w:ascii="Times New Roman" w:hAnsi="Times New Roman" w:cs="Times New Roman"/>
          <w:sz w:val="24"/>
        </w:rPr>
      </w:pPr>
    </w:p>
    <w:p w:rsidR="00194E78" w:rsidRPr="00BC6844" w:rsidRDefault="00746F43"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lastRenderedPageBreak/>
        <w:t>Are you free? Why? Why not? If not, are you still a person? The question reflect</w:t>
      </w:r>
      <w:r w:rsidR="00863D7A" w:rsidRPr="00BC6844">
        <w:rPr>
          <w:rFonts w:ascii="Times New Roman" w:hAnsi="Times New Roman" w:cs="Times New Roman"/>
          <w:sz w:val="24"/>
        </w:rPr>
        <w:t>s</w:t>
      </w:r>
      <w:r w:rsidRPr="00BC6844">
        <w:rPr>
          <w:rFonts w:ascii="Times New Roman" w:hAnsi="Times New Roman" w:cs="Times New Roman"/>
          <w:sz w:val="24"/>
        </w:rPr>
        <w:t xml:space="preserve"> on philosophical and scientific graduations of the concept of free will. </w:t>
      </w:r>
      <w:r w:rsidR="00863D7A" w:rsidRPr="00BC6844">
        <w:rPr>
          <w:rFonts w:ascii="Times New Roman" w:hAnsi="Times New Roman" w:cs="Times New Roman"/>
          <w:sz w:val="24"/>
        </w:rPr>
        <w:t xml:space="preserve">The highlight of the question is the liberty in our thoughts and actions. The achievement of actions also requires the accounts for causality, and the element of control. The question thus highlights on a variety of theories that explain the capacity of an individual to act freely. The scientific approach delves in the decision making process as a resultant effect of mechanisms that depend on thought, which also constitutes their formulation. </w:t>
      </w:r>
    </w:p>
    <w:p w:rsidR="003D25E3" w:rsidRPr="00BC6844" w:rsidRDefault="00863D7A"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t xml:space="preserve">The analysis of Francis Bacon brought about the concept of syllogism. </w:t>
      </w:r>
      <w:r w:rsidR="007C5845" w:rsidRPr="00BC6844">
        <w:rPr>
          <w:rFonts w:ascii="Times New Roman" w:hAnsi="Times New Roman" w:cs="Times New Roman"/>
          <w:sz w:val="24"/>
        </w:rPr>
        <w:t>Bacon set fourth four illusions that limit the extent of knowledge. The purpose challenges the discovery of any new scientific knowledge. The discoveries are information we previously knew, or misdirection</w:t>
      </w:r>
      <w:r w:rsidR="00516158" w:rsidRPr="00BC6844">
        <w:rPr>
          <w:rStyle w:val="FootnoteReference"/>
          <w:rFonts w:ascii="Times New Roman" w:hAnsi="Times New Roman" w:cs="Times New Roman"/>
          <w:sz w:val="24"/>
        </w:rPr>
        <w:footnoteReference w:id="1"/>
      </w:r>
      <w:r w:rsidR="007C5845" w:rsidRPr="00BC6844">
        <w:rPr>
          <w:rFonts w:ascii="Times New Roman" w:hAnsi="Times New Roman" w:cs="Times New Roman"/>
          <w:sz w:val="24"/>
        </w:rPr>
        <w:t xml:space="preserve">.  Bacon insists on knowing the root cause of anything for the capability of mimicking the results. He argues that the use of logic is more harmful tan beneficial in the discovery of new knowledge, but useful in solving the problems we create. Analyzing the concept of free will through the perception of Bacon requires surpassing just the knowledge presented by logic and looking beyond to determine the cause and identify the result. </w:t>
      </w:r>
    </w:p>
    <w:p w:rsidR="00863D7A" w:rsidRPr="00BC6844" w:rsidRDefault="007C5845"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t xml:space="preserve">Hume elaborated on the impact of causality </w:t>
      </w:r>
      <w:r w:rsidR="003D25E3" w:rsidRPr="00BC6844">
        <w:rPr>
          <w:rFonts w:ascii="Times New Roman" w:hAnsi="Times New Roman" w:cs="Times New Roman"/>
          <w:sz w:val="24"/>
        </w:rPr>
        <w:t>is limited to the expectations of the mind. The theory brought forth by Hume presents a subjective argument by which to analyze the causal relationship by</w:t>
      </w:r>
      <w:r w:rsidR="00516158" w:rsidRPr="00BC6844">
        <w:rPr>
          <w:rStyle w:val="FootnoteReference"/>
          <w:rFonts w:ascii="Times New Roman" w:hAnsi="Times New Roman" w:cs="Times New Roman"/>
          <w:sz w:val="24"/>
        </w:rPr>
        <w:footnoteReference w:id="2"/>
      </w:r>
      <w:r w:rsidR="003D25E3" w:rsidRPr="00BC6844">
        <w:rPr>
          <w:rFonts w:ascii="Times New Roman" w:hAnsi="Times New Roman" w:cs="Times New Roman"/>
          <w:sz w:val="24"/>
        </w:rPr>
        <w:t>. The argument for Hume provided a platform by which to negate the limited purview of human ignorance and weakness of understanding. Hume analysis followed that skepticism without analysis of causality provided narrow limits to human reason and capacity</w:t>
      </w:r>
      <w:r w:rsidR="00516158" w:rsidRPr="00BC6844">
        <w:rPr>
          <w:rStyle w:val="FootnoteReference"/>
          <w:rFonts w:ascii="Times New Roman" w:hAnsi="Times New Roman" w:cs="Times New Roman"/>
          <w:sz w:val="24"/>
        </w:rPr>
        <w:footnoteReference w:id="3"/>
      </w:r>
      <w:r w:rsidR="003D25E3" w:rsidRPr="00BC6844">
        <w:rPr>
          <w:rFonts w:ascii="Times New Roman" w:hAnsi="Times New Roman" w:cs="Times New Roman"/>
          <w:sz w:val="24"/>
        </w:rPr>
        <w:t xml:space="preserve">. </w:t>
      </w:r>
      <w:r w:rsidR="00516158" w:rsidRPr="00BC6844">
        <w:rPr>
          <w:rFonts w:ascii="Times New Roman" w:hAnsi="Times New Roman" w:cs="Times New Roman"/>
          <w:sz w:val="24"/>
        </w:rPr>
        <w:lastRenderedPageBreak/>
        <w:t xml:space="preserve">Hume proposes a theory that makes it possible for characters to move from a single element to the next even if the data are not relatable. </w:t>
      </w:r>
    </w:p>
    <w:p w:rsidR="003D25E3" w:rsidRPr="00BC6844" w:rsidRDefault="003D25E3"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t>Kant later came to negate the input by Hume for the assessment of causality. Kant arguments analyze the impact of causality in creating platforms by which we can mentally experience the world. The foundation of Kant’s argument is that any form of change takes the form of cause and effect</w:t>
      </w:r>
      <w:r w:rsidR="00516158" w:rsidRPr="00BC6844">
        <w:rPr>
          <w:rStyle w:val="FootnoteReference"/>
          <w:rFonts w:ascii="Times New Roman" w:hAnsi="Times New Roman" w:cs="Times New Roman"/>
          <w:sz w:val="24"/>
        </w:rPr>
        <w:footnoteReference w:id="4"/>
      </w:r>
      <w:r w:rsidRPr="00BC6844">
        <w:rPr>
          <w:rFonts w:ascii="Times New Roman" w:hAnsi="Times New Roman" w:cs="Times New Roman"/>
          <w:sz w:val="24"/>
        </w:rPr>
        <w:t xml:space="preserve">. Proper illustration of the theory presents as a distinction in the perception of events and items. In the latter, perception is reversible with no limit on where to start and the process to abide by. </w:t>
      </w:r>
      <w:r w:rsidR="00516158" w:rsidRPr="00BC6844">
        <w:rPr>
          <w:rFonts w:ascii="Times New Roman" w:hAnsi="Times New Roman" w:cs="Times New Roman"/>
          <w:sz w:val="24"/>
        </w:rPr>
        <w:t>It is therefore a subjective view. However, event places a certain determinate order by which to perceive the entire experience. The perception is therefore subject to the series of sequences culminating to the event</w:t>
      </w:r>
      <w:r w:rsidR="00516158" w:rsidRPr="00BC6844">
        <w:rPr>
          <w:rStyle w:val="FootnoteReference"/>
          <w:rFonts w:ascii="Times New Roman" w:hAnsi="Times New Roman" w:cs="Times New Roman"/>
          <w:sz w:val="24"/>
        </w:rPr>
        <w:footnoteReference w:id="5"/>
      </w:r>
      <w:r w:rsidR="00516158" w:rsidRPr="00BC6844">
        <w:rPr>
          <w:rFonts w:ascii="Times New Roman" w:hAnsi="Times New Roman" w:cs="Times New Roman"/>
          <w:sz w:val="24"/>
        </w:rPr>
        <w:t xml:space="preserve">. Kant proposes an argument that brings order and rules that govern how phenomena unfold. </w:t>
      </w:r>
    </w:p>
    <w:p w:rsidR="00516158" w:rsidRPr="00BC6844" w:rsidRDefault="00516158"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t>Plato and Socrates provide an additional element for discussion,</w:t>
      </w:r>
      <w:r w:rsidR="00194E78" w:rsidRPr="00BC6844">
        <w:rPr>
          <w:rFonts w:ascii="Times New Roman" w:hAnsi="Times New Roman" w:cs="Times New Roman"/>
          <w:sz w:val="24"/>
        </w:rPr>
        <w:t xml:space="preserve"> morality and happiness (487)</w:t>
      </w:r>
      <w:r w:rsidR="00194E78" w:rsidRPr="00BC6844">
        <w:rPr>
          <w:rStyle w:val="FootnoteReference"/>
          <w:rFonts w:ascii="Times New Roman" w:hAnsi="Times New Roman" w:cs="Times New Roman"/>
          <w:sz w:val="24"/>
        </w:rPr>
        <w:footnoteReference w:id="6"/>
      </w:r>
      <w:r w:rsidR="00194E78" w:rsidRPr="00BC6844">
        <w:rPr>
          <w:rFonts w:ascii="Times New Roman" w:hAnsi="Times New Roman" w:cs="Times New Roman"/>
          <w:sz w:val="24"/>
        </w:rPr>
        <w:t>. The concept of goodness and virtue for Plato presents a life filled with reasons and abiding by the rules set forth for the determination of truth and service to the state, using the intellectual understanding of reality. The argument presents a conundrum in that the intellectual capacity leads humans to acts of immediate personal gain rather than sticking by the rules that govern the state. Evaluation is the same even when the risk of punishment looms high from the lack of following the rules</w:t>
      </w:r>
      <w:r w:rsidR="00194E78" w:rsidRPr="00BC6844">
        <w:rPr>
          <w:rStyle w:val="FootnoteReference"/>
          <w:rFonts w:ascii="Times New Roman" w:hAnsi="Times New Roman" w:cs="Times New Roman"/>
          <w:sz w:val="24"/>
        </w:rPr>
        <w:footnoteReference w:id="7"/>
      </w:r>
      <w:r w:rsidR="00194E78" w:rsidRPr="00BC6844">
        <w:rPr>
          <w:rFonts w:ascii="Times New Roman" w:hAnsi="Times New Roman" w:cs="Times New Roman"/>
          <w:sz w:val="24"/>
        </w:rPr>
        <w:t>.</w:t>
      </w:r>
    </w:p>
    <w:p w:rsidR="00194E78" w:rsidRPr="00BC6844" w:rsidRDefault="00194E78"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lastRenderedPageBreak/>
        <w:t xml:space="preserve">John Rawl presents the theory of rational choice versus will. The argument </w:t>
      </w:r>
      <w:r w:rsidR="00697379" w:rsidRPr="00BC6844">
        <w:rPr>
          <w:rFonts w:ascii="Times New Roman" w:hAnsi="Times New Roman" w:cs="Times New Roman"/>
          <w:sz w:val="24"/>
        </w:rPr>
        <w:t>presents challenges of human having the ability to choose from the principles they seek to abide by in the society (534)</w:t>
      </w:r>
      <w:r w:rsidR="00697379" w:rsidRPr="00BC6844">
        <w:rPr>
          <w:rStyle w:val="FootnoteReference"/>
          <w:rFonts w:ascii="Times New Roman" w:hAnsi="Times New Roman" w:cs="Times New Roman"/>
          <w:sz w:val="24"/>
        </w:rPr>
        <w:footnoteReference w:id="8"/>
      </w:r>
      <w:r w:rsidR="00697379" w:rsidRPr="00BC6844">
        <w:rPr>
          <w:rFonts w:ascii="Times New Roman" w:hAnsi="Times New Roman" w:cs="Times New Roman"/>
          <w:sz w:val="24"/>
        </w:rPr>
        <w:t>. The theory supports opposing arguments. It is feasible for the theory to take account of the greater good in the society and form as a base of judgment for the society. However, Rawls perception follows the evaluation that rational choice may provide equity in the deliberation of basic rights and duties among members of the society, and an imbalance that favors the minority within the community. The rational choice argument highlights making use of the most effective means to secure given ends</w:t>
      </w:r>
      <w:r w:rsidR="00697379" w:rsidRPr="00BC6844">
        <w:rPr>
          <w:rStyle w:val="FootnoteReference"/>
          <w:rFonts w:ascii="Times New Roman" w:hAnsi="Times New Roman" w:cs="Times New Roman"/>
          <w:sz w:val="24"/>
        </w:rPr>
        <w:footnoteReference w:id="9"/>
      </w:r>
      <w:r w:rsidR="00697379" w:rsidRPr="00BC6844">
        <w:rPr>
          <w:rFonts w:ascii="Times New Roman" w:hAnsi="Times New Roman" w:cs="Times New Roman"/>
          <w:sz w:val="24"/>
        </w:rPr>
        <w:t xml:space="preserve">. </w:t>
      </w:r>
    </w:p>
    <w:p w:rsidR="00697379" w:rsidRPr="00BC6844" w:rsidRDefault="00697379"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t>Alasdair MacIntyre introduces the notion of living tradition within the argument. The theory presupposes that no existing reason provides a clear guideline by which to lead our lives but a quest directed at some goal (540)</w:t>
      </w:r>
      <w:r w:rsidRPr="00BC6844">
        <w:rPr>
          <w:rStyle w:val="FootnoteReference"/>
          <w:rFonts w:ascii="Times New Roman" w:hAnsi="Times New Roman" w:cs="Times New Roman"/>
          <w:sz w:val="24"/>
        </w:rPr>
        <w:footnoteReference w:id="10"/>
      </w:r>
      <w:r w:rsidRPr="00BC6844">
        <w:rPr>
          <w:rFonts w:ascii="Times New Roman" w:hAnsi="Times New Roman" w:cs="Times New Roman"/>
          <w:sz w:val="24"/>
        </w:rPr>
        <w:t xml:space="preserve">. The proposal provides a sense of future and past with adequate persuasive authority by which to guide our actions. The context of a narrative gives the human life meaning from tales woven to create </w:t>
      </w:r>
      <w:r w:rsidR="0082375C" w:rsidRPr="00BC6844">
        <w:rPr>
          <w:rFonts w:ascii="Times New Roman" w:hAnsi="Times New Roman" w:cs="Times New Roman"/>
          <w:sz w:val="24"/>
        </w:rPr>
        <w:t xml:space="preserve">abstract value. </w:t>
      </w:r>
    </w:p>
    <w:p w:rsidR="00C97F7F" w:rsidRDefault="0082375C" w:rsidP="00C97F7F">
      <w:pPr>
        <w:spacing w:after="0" w:line="480" w:lineRule="auto"/>
        <w:ind w:firstLine="720"/>
        <w:jc w:val="both"/>
        <w:rPr>
          <w:rFonts w:ascii="Times New Roman" w:hAnsi="Times New Roman" w:cs="Times New Roman"/>
          <w:sz w:val="24"/>
        </w:rPr>
      </w:pPr>
      <w:r w:rsidRPr="00BC6844">
        <w:rPr>
          <w:rFonts w:ascii="Times New Roman" w:hAnsi="Times New Roman" w:cs="Times New Roman"/>
          <w:sz w:val="24"/>
        </w:rPr>
        <w:t xml:space="preserve">Following the arguments, free will may be a concept engrained in the human psychology by the society or state. The opposing argument highlights the intellectual capacity of humans as the guiding rod behind their action. However, most of the theories presented indicate that the concept of free will is only abstract, and that human beings are limited through external influence. The lack of free will does not limit our humanity. Given that the society, state, and intellectual capabilities provide a guideline by which behavior is judged creates the connotation of personality.  </w:t>
      </w:r>
    </w:p>
    <w:p w:rsidR="00C97F7F" w:rsidRPr="00C97F7F" w:rsidRDefault="00C97F7F" w:rsidP="00C97F7F">
      <w:pPr>
        <w:shd w:val="clear" w:color="auto" w:fill="FFFFFF"/>
        <w:spacing w:after="0" w:line="480" w:lineRule="auto"/>
        <w:jc w:val="center"/>
        <w:rPr>
          <w:rFonts w:ascii="Times New Roman" w:eastAsia="Times New Roman" w:hAnsi="Times New Roman" w:cs="Times New Roman"/>
          <w:color w:val="000000"/>
          <w:sz w:val="24"/>
          <w:szCs w:val="24"/>
        </w:rPr>
      </w:pPr>
      <w:r w:rsidRPr="00C97F7F">
        <w:rPr>
          <w:rFonts w:ascii="Times New Roman" w:eastAsia="Times New Roman" w:hAnsi="Times New Roman" w:cs="Times New Roman"/>
          <w:color w:val="000000"/>
          <w:sz w:val="24"/>
          <w:szCs w:val="24"/>
        </w:rPr>
        <w:t>Bibliography</w:t>
      </w:r>
    </w:p>
    <w:p w:rsidR="00C97F7F" w:rsidRPr="00C97F7F" w:rsidRDefault="00C97F7F" w:rsidP="00C97F7F">
      <w:pPr>
        <w:spacing w:after="0" w:line="480" w:lineRule="auto"/>
        <w:rPr>
          <w:rFonts w:ascii="Times New Roman" w:eastAsia="Times New Roman" w:hAnsi="Times New Roman" w:cs="Times New Roman"/>
          <w:sz w:val="24"/>
          <w:szCs w:val="24"/>
        </w:rPr>
      </w:pPr>
      <w:bookmarkStart w:id="0" w:name="_GoBack"/>
      <w:bookmarkEnd w:id="0"/>
    </w:p>
    <w:p w:rsidR="00C97F7F" w:rsidRPr="00C97F7F" w:rsidRDefault="00C97F7F" w:rsidP="00C97F7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97F7F">
        <w:rPr>
          <w:rFonts w:ascii="Times New Roman" w:eastAsia="Times New Roman" w:hAnsi="Times New Roman" w:cs="Times New Roman"/>
          <w:color w:val="000000"/>
          <w:sz w:val="24"/>
          <w:szCs w:val="24"/>
        </w:rPr>
        <w:t>Cottingham, John. "Western Philosophy. An Antology. Second Edition : John Cottingham, Edited by : Free Download, Borrow, and Streaming : Internet Archive." Inte</w:t>
      </w:r>
      <w:r>
        <w:rPr>
          <w:rFonts w:ascii="Times New Roman" w:eastAsia="Times New Roman" w:hAnsi="Times New Roman" w:cs="Times New Roman"/>
          <w:color w:val="000000"/>
          <w:sz w:val="24"/>
          <w:szCs w:val="24"/>
        </w:rPr>
        <w:t>rnet Archive. Last modified 2007</w:t>
      </w:r>
      <w:r w:rsidRPr="00C97F7F">
        <w:rPr>
          <w:rFonts w:ascii="Times New Roman" w:eastAsia="Times New Roman" w:hAnsi="Times New Roman" w:cs="Times New Roman"/>
          <w:color w:val="000000"/>
          <w:sz w:val="24"/>
          <w:szCs w:val="24"/>
        </w:rPr>
        <w:t>. https://archive.org/details/B-001-001-325/page/n11.</w:t>
      </w:r>
    </w:p>
    <w:p w:rsidR="0082375C" w:rsidRPr="00BC6844" w:rsidRDefault="0082375C" w:rsidP="00C97F7F">
      <w:pPr>
        <w:spacing w:after="0" w:line="480" w:lineRule="auto"/>
        <w:ind w:firstLine="720"/>
        <w:jc w:val="both"/>
        <w:rPr>
          <w:rFonts w:ascii="Times New Roman" w:hAnsi="Times New Roman" w:cs="Times New Roman"/>
          <w:sz w:val="24"/>
        </w:rPr>
      </w:pPr>
    </w:p>
    <w:p w:rsidR="00C97F7F" w:rsidRPr="00BC6844" w:rsidRDefault="00C97F7F">
      <w:pPr>
        <w:spacing w:after="0" w:line="480" w:lineRule="auto"/>
        <w:ind w:firstLine="720"/>
        <w:jc w:val="both"/>
        <w:rPr>
          <w:rFonts w:ascii="Times New Roman" w:hAnsi="Times New Roman" w:cs="Times New Roman"/>
          <w:sz w:val="24"/>
        </w:rPr>
      </w:pPr>
    </w:p>
    <w:sectPr w:rsidR="00C97F7F" w:rsidRPr="00BC68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4EB" w:rsidRDefault="00C834EB" w:rsidP="00516158">
      <w:pPr>
        <w:spacing w:after="0" w:line="240" w:lineRule="auto"/>
      </w:pPr>
      <w:r>
        <w:separator/>
      </w:r>
    </w:p>
  </w:endnote>
  <w:endnote w:type="continuationSeparator" w:id="0">
    <w:p w:rsidR="00C834EB" w:rsidRDefault="00C834EB" w:rsidP="00516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4EB" w:rsidRDefault="00C834EB" w:rsidP="00516158">
      <w:pPr>
        <w:spacing w:after="0" w:line="240" w:lineRule="auto"/>
      </w:pPr>
      <w:r>
        <w:separator/>
      </w:r>
    </w:p>
  </w:footnote>
  <w:footnote w:type="continuationSeparator" w:id="0">
    <w:p w:rsidR="00C834EB" w:rsidRDefault="00C834EB" w:rsidP="00516158">
      <w:pPr>
        <w:spacing w:after="0" w:line="240" w:lineRule="auto"/>
      </w:pPr>
      <w:r>
        <w:continuationSeparator/>
      </w:r>
    </w:p>
  </w:footnote>
  <w:footnote w:id="1">
    <w:p w:rsidR="00516158" w:rsidRPr="00BC6844" w:rsidRDefault="00516158">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Science and Method.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416). Blackwell Publishing.</w:t>
      </w:r>
    </w:p>
  </w:footnote>
  <w:footnote w:id="2">
    <w:p w:rsidR="00516158" w:rsidRPr="00BC6844" w:rsidRDefault="00516158">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Science and Method.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438). Blackwell Publishing.</w:t>
      </w:r>
    </w:p>
  </w:footnote>
  <w:footnote w:id="3">
    <w:p w:rsidR="00516158" w:rsidRPr="00BC6844" w:rsidRDefault="00516158">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Science and Method.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442. Blackwell Publishing.</w:t>
      </w:r>
    </w:p>
  </w:footnote>
  <w:footnote w:id="4">
    <w:p w:rsidR="00516158" w:rsidRPr="00BC6844" w:rsidRDefault="00516158" w:rsidP="00BC6844">
      <w:pPr>
        <w:pStyle w:val="Bibliography"/>
        <w:spacing w:after="0"/>
        <w:rPr>
          <w:rFonts w:ascii="Times New Roman" w:hAnsi="Times New Roman" w:cs="Times New Roman"/>
          <w:noProof/>
          <w:sz w:val="20"/>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sz w:val="20"/>
        </w:rPr>
        <w:t xml:space="preserve">Cottingham, J. (2007). Science and Method. In J. Cottingham, </w:t>
      </w:r>
      <w:r w:rsidR="00BC6844" w:rsidRPr="00BC6844">
        <w:rPr>
          <w:rFonts w:ascii="Times New Roman" w:hAnsi="Times New Roman" w:cs="Times New Roman"/>
          <w:i/>
          <w:iCs/>
          <w:noProof/>
          <w:sz w:val="20"/>
        </w:rPr>
        <w:t>Western Philosophy: An Anthology</w:t>
      </w:r>
      <w:r w:rsidR="00BC6844" w:rsidRPr="00BC6844">
        <w:rPr>
          <w:rFonts w:ascii="Times New Roman" w:hAnsi="Times New Roman" w:cs="Times New Roman"/>
          <w:noProof/>
          <w:sz w:val="20"/>
        </w:rPr>
        <w:t xml:space="preserve"> (pp. 443). Blackwell Publishing.</w:t>
      </w:r>
    </w:p>
  </w:footnote>
  <w:footnote w:id="5">
    <w:p w:rsidR="00516158" w:rsidRPr="00BC6844" w:rsidRDefault="00516158" w:rsidP="00BC6844">
      <w:pPr>
        <w:pStyle w:val="Bibliography"/>
        <w:rPr>
          <w:rFonts w:ascii="Times New Roman" w:hAnsi="Times New Roman" w:cs="Times New Roman"/>
          <w:noProof/>
        </w:rPr>
      </w:pPr>
      <w:r w:rsidRPr="00BC6844">
        <w:rPr>
          <w:rStyle w:val="FootnoteReference"/>
          <w:rFonts w:ascii="Times New Roman" w:hAnsi="Times New Roman" w:cs="Times New Roman"/>
          <w:sz w:val="20"/>
        </w:rPr>
        <w:footnoteRef/>
      </w:r>
      <w:r w:rsidRPr="00BC6844">
        <w:rPr>
          <w:rFonts w:ascii="Times New Roman" w:hAnsi="Times New Roman" w:cs="Times New Roman"/>
          <w:sz w:val="20"/>
        </w:rPr>
        <w:t xml:space="preserve"> </w:t>
      </w:r>
      <w:r w:rsidR="00BC6844" w:rsidRPr="00BC6844">
        <w:rPr>
          <w:rFonts w:ascii="Times New Roman" w:hAnsi="Times New Roman" w:cs="Times New Roman"/>
          <w:noProof/>
          <w:sz w:val="20"/>
        </w:rPr>
        <w:t xml:space="preserve">Cottingham, J. (2007). Science and Method. In J. Cottingham, </w:t>
      </w:r>
      <w:r w:rsidR="00BC6844" w:rsidRPr="00BC6844">
        <w:rPr>
          <w:rFonts w:ascii="Times New Roman" w:hAnsi="Times New Roman" w:cs="Times New Roman"/>
          <w:i/>
          <w:iCs/>
          <w:noProof/>
          <w:sz w:val="20"/>
        </w:rPr>
        <w:t>Western Philosophy: An Anthology</w:t>
      </w:r>
      <w:r w:rsidR="00BC6844" w:rsidRPr="00BC6844">
        <w:rPr>
          <w:rFonts w:ascii="Times New Roman" w:hAnsi="Times New Roman" w:cs="Times New Roman"/>
          <w:noProof/>
          <w:sz w:val="20"/>
        </w:rPr>
        <w:t xml:space="preserve"> (pp. 446). Blackwell Publishing</w:t>
      </w:r>
    </w:p>
  </w:footnote>
  <w:footnote w:id="6">
    <w:p w:rsidR="00194E78" w:rsidRPr="00BC6844" w:rsidRDefault="00194E78">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Morality and the Good life.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487). Blackwell Publishing.</w:t>
      </w:r>
    </w:p>
  </w:footnote>
  <w:footnote w:id="7">
    <w:p w:rsidR="00194E78" w:rsidRPr="00BC6844" w:rsidRDefault="00194E78">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Morality and the Good life.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487). Blackwell Publishing.</w:t>
      </w:r>
    </w:p>
  </w:footnote>
  <w:footnote w:id="8">
    <w:p w:rsidR="00697379" w:rsidRPr="00BC6844" w:rsidRDefault="00697379">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Morality and the Good life.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534). Blackwell Publishing.</w:t>
      </w:r>
    </w:p>
  </w:footnote>
  <w:footnote w:id="9">
    <w:p w:rsidR="00697379" w:rsidRPr="00BC6844" w:rsidRDefault="00697379">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Morality and the Good life.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537). Blackwell Publishing.</w:t>
      </w:r>
    </w:p>
  </w:footnote>
  <w:footnote w:id="10">
    <w:p w:rsidR="00697379" w:rsidRPr="00BC6844" w:rsidRDefault="00697379">
      <w:pPr>
        <w:pStyle w:val="FootnoteText"/>
        <w:rPr>
          <w:rFonts w:ascii="Times New Roman" w:hAnsi="Times New Roman" w:cs="Times New Roman"/>
        </w:rPr>
      </w:pPr>
      <w:r w:rsidRPr="00BC6844">
        <w:rPr>
          <w:rStyle w:val="FootnoteReference"/>
          <w:rFonts w:ascii="Times New Roman" w:hAnsi="Times New Roman" w:cs="Times New Roman"/>
        </w:rPr>
        <w:footnoteRef/>
      </w:r>
      <w:r w:rsidRPr="00BC6844">
        <w:rPr>
          <w:rFonts w:ascii="Times New Roman" w:hAnsi="Times New Roman" w:cs="Times New Roman"/>
        </w:rPr>
        <w:t xml:space="preserve"> </w:t>
      </w:r>
      <w:r w:rsidR="00BC6844" w:rsidRPr="00BC6844">
        <w:rPr>
          <w:rFonts w:ascii="Times New Roman" w:hAnsi="Times New Roman" w:cs="Times New Roman"/>
          <w:noProof/>
        </w:rPr>
        <w:t xml:space="preserve">Cottingham, J. (2007). Morality and the Good life. In J. Cottingham, </w:t>
      </w:r>
      <w:r w:rsidR="00BC6844" w:rsidRPr="00BC6844">
        <w:rPr>
          <w:rFonts w:ascii="Times New Roman" w:hAnsi="Times New Roman" w:cs="Times New Roman"/>
          <w:i/>
          <w:iCs/>
          <w:noProof/>
        </w:rPr>
        <w:t>Western Philosophy: An Anthology</w:t>
      </w:r>
      <w:r w:rsidR="00BC6844" w:rsidRPr="00BC6844">
        <w:rPr>
          <w:rFonts w:ascii="Times New Roman" w:hAnsi="Times New Roman" w:cs="Times New Roman"/>
          <w:noProof/>
        </w:rPr>
        <w:t xml:space="preserve"> (pp. 540). Blackwell Publishing.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F7F" w:rsidRDefault="00C97F7F" w:rsidP="00C97F7F">
    <w:pPr>
      <w:pStyle w:val="Header"/>
    </w:pPr>
    <w:r w:rsidRPr="00BC6844">
      <w:rPr>
        <w:rFonts w:ascii="Times New Roman" w:hAnsi="Times New Roman" w:cs="Times New Roman"/>
        <w:sz w:val="24"/>
      </w:rPr>
      <w:t>PHILOSOPHICAL AND SCIENTIFIC GRADUATIONS</w:t>
    </w:r>
    <w:r>
      <w:rPr>
        <w:rFonts w:ascii="Times New Roman" w:hAnsi="Times New Roman" w:cs="Times New Roman"/>
        <w:sz w:val="24"/>
      </w:rPr>
      <w:tab/>
    </w:r>
    <w:r>
      <w:rPr>
        <w:rFonts w:ascii="Times New Roman" w:hAnsi="Times New Roman" w:cs="Times New Roman"/>
        <w:sz w:val="24"/>
      </w:rPr>
      <w:tab/>
    </w:r>
    <w:r w:rsidRPr="00C97F7F">
      <w:rPr>
        <w:rFonts w:ascii="Times New Roman" w:hAnsi="Times New Roman" w:cs="Times New Roman"/>
        <w:sz w:val="24"/>
      </w:rPr>
      <w:fldChar w:fldCharType="begin"/>
    </w:r>
    <w:r w:rsidRPr="00C97F7F">
      <w:rPr>
        <w:rFonts w:ascii="Times New Roman" w:hAnsi="Times New Roman" w:cs="Times New Roman"/>
        <w:sz w:val="24"/>
      </w:rPr>
      <w:instrText xml:space="preserve"> PAGE   \* MERGEFORMAT </w:instrText>
    </w:r>
    <w:r w:rsidRPr="00C97F7F">
      <w:rPr>
        <w:rFonts w:ascii="Times New Roman" w:hAnsi="Times New Roman" w:cs="Times New Roman"/>
        <w:sz w:val="24"/>
      </w:rPr>
      <w:fldChar w:fldCharType="separate"/>
    </w:r>
    <w:r w:rsidR="00C84B68">
      <w:rPr>
        <w:rFonts w:ascii="Times New Roman" w:hAnsi="Times New Roman" w:cs="Times New Roman"/>
        <w:noProof/>
        <w:sz w:val="24"/>
      </w:rPr>
      <w:t>5</w:t>
    </w:r>
    <w:r w:rsidRPr="00C97F7F">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43"/>
    <w:rsid w:val="00194E78"/>
    <w:rsid w:val="003D25E3"/>
    <w:rsid w:val="00454B52"/>
    <w:rsid w:val="00516158"/>
    <w:rsid w:val="00697379"/>
    <w:rsid w:val="00746F43"/>
    <w:rsid w:val="007C5845"/>
    <w:rsid w:val="0082375C"/>
    <w:rsid w:val="00863D7A"/>
    <w:rsid w:val="00BC6844"/>
    <w:rsid w:val="00C834EB"/>
    <w:rsid w:val="00C84B68"/>
    <w:rsid w:val="00C9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88290"/>
  <w15:docId w15:val="{87D05E59-BBA6-44EC-AE81-8050BBF8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375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161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6158"/>
    <w:rPr>
      <w:sz w:val="20"/>
      <w:szCs w:val="20"/>
    </w:rPr>
  </w:style>
  <w:style w:type="character" w:styleId="FootnoteReference">
    <w:name w:val="footnote reference"/>
    <w:basedOn w:val="DefaultParagraphFont"/>
    <w:uiPriority w:val="99"/>
    <w:semiHidden/>
    <w:unhideWhenUsed/>
    <w:rsid w:val="00516158"/>
    <w:rPr>
      <w:vertAlign w:val="superscript"/>
    </w:rPr>
  </w:style>
  <w:style w:type="paragraph" w:styleId="BalloonText">
    <w:name w:val="Balloon Text"/>
    <w:basedOn w:val="Normal"/>
    <w:link w:val="BalloonTextChar"/>
    <w:uiPriority w:val="99"/>
    <w:semiHidden/>
    <w:unhideWhenUsed/>
    <w:rsid w:val="00823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75C"/>
    <w:rPr>
      <w:rFonts w:ascii="Tahoma" w:hAnsi="Tahoma" w:cs="Tahoma"/>
      <w:sz w:val="16"/>
      <w:szCs w:val="16"/>
    </w:rPr>
  </w:style>
  <w:style w:type="character" w:customStyle="1" w:styleId="Heading1Char">
    <w:name w:val="Heading 1 Char"/>
    <w:basedOn w:val="DefaultParagraphFont"/>
    <w:link w:val="Heading1"/>
    <w:uiPriority w:val="9"/>
    <w:rsid w:val="0082375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2375C"/>
  </w:style>
  <w:style w:type="paragraph" w:customStyle="1" w:styleId="cpformat">
    <w:name w:val="cpformat"/>
    <w:basedOn w:val="Normal"/>
    <w:rsid w:val="00C97F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7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F7F"/>
  </w:style>
  <w:style w:type="paragraph" w:styleId="Footer">
    <w:name w:val="footer"/>
    <w:basedOn w:val="Normal"/>
    <w:link w:val="FooterChar"/>
    <w:uiPriority w:val="99"/>
    <w:unhideWhenUsed/>
    <w:rsid w:val="00C97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29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Cot07</b:Tag>
    <b:SourceType>BookSection</b:SourceType>
    <b:Guid>{0B885CE6-5EAF-4717-BEC9-1554596D222E}</b:Guid>
    <b:Author>
      <b:Author>
        <b:NameList>
          <b:Person>
            <b:Last>Cottingham</b:Last>
            <b:First>John</b:First>
          </b:Person>
        </b:NameList>
      </b:Author>
      <b:BookAuthor>
        <b:NameList>
          <b:Person>
            <b:Last>Cottingham</b:Last>
            <b:First>John</b:First>
          </b:Person>
        </b:NameList>
      </b:BookAuthor>
    </b:Author>
    <b:Title>Science and Method</b:Title>
    <b:Year>2007</b:Year>
    <b:Pages>411-484</b:Pages>
    <b:Publisher>Blackwell Publishing</b:Publisher>
    <b:BookTitle>Western Philosophy: An Anthology</b:BookTitle>
    <b:RefOrder>1</b:RefOrder>
  </b:Source>
  <b:Source>
    <b:Tag>Cot071</b:Tag>
    <b:SourceType>BookSection</b:SourceType>
    <b:Guid>{059AB69E-DF49-4B3D-AC13-DE5ACBCDF073}</b:Guid>
    <b:Author>
      <b:Author>
        <b:NameList>
          <b:Person>
            <b:Last>Cottingham</b:Last>
            <b:First>John</b:First>
          </b:Person>
        </b:NameList>
      </b:Author>
      <b:BookAuthor>
        <b:NameList>
          <b:Person>
            <b:Last>Cottingham</b:Last>
            <b:First>John</b:First>
          </b:Person>
        </b:NameList>
      </b:BookAuthor>
    </b:Author>
    <b:Title>Morality and the Good life</b:Title>
    <b:BookTitle>Western Philosophy: An Anthology</b:BookTitle>
    <b:Year>2007</b:Year>
    <b:Pages>485-554</b:Pages>
    <b:Publisher>Blackwell Publishing</b:Publisher>
    <b:RefOrder>2</b:RefOrder>
  </b:Source>
</b:Sources>
</file>

<file path=customXml/itemProps1.xml><?xml version="1.0" encoding="utf-8"?>
<ds:datastoreItem xmlns:ds="http://schemas.openxmlformats.org/officeDocument/2006/customXml" ds:itemID="{51474EBD-CCE6-47F5-BEAF-36C53BCA5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2019-10-14T22:47:00Z</dcterms:created>
  <dcterms:modified xsi:type="dcterms:W3CDTF">2019-10-14T22:47:00Z</dcterms:modified>
</cp:coreProperties>
</file>